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72F17935"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w:t>
      </w:r>
      <w:r w:rsidR="009872FB" w:rsidRPr="00C54424">
        <w:rPr>
          <w:rFonts w:ascii="Arial" w:hAnsi="Arial" w:cs="Arial"/>
          <w:i/>
          <w:iCs/>
          <w:sz w:val="22"/>
          <w:szCs w:val="22"/>
          <w:lang w:val="pt-PT"/>
        </w:rPr>
        <w:t xml:space="preserve">empresa </w:t>
      </w:r>
      <w:r w:rsidR="009872FB" w:rsidRPr="00C54424">
        <w:rPr>
          <w:rFonts w:ascii="Arial" w:hAnsi="Arial" w:cs="Arial"/>
          <w:b/>
          <w:bCs/>
          <w:i/>
          <w:iCs/>
          <w:sz w:val="22"/>
          <w:szCs w:val="22"/>
          <w:lang w:val="pt-PT"/>
        </w:rPr>
        <w:t>OU</w:t>
      </w:r>
      <w:r w:rsidR="009872FB" w:rsidRPr="00C54424">
        <w:rPr>
          <w:rFonts w:ascii="Arial" w:hAnsi="Arial" w:cs="Arial"/>
          <w:i/>
          <w:iCs/>
          <w:sz w:val="22"/>
          <w:szCs w:val="22"/>
          <w:lang w:val="pt-PT"/>
        </w:rPr>
        <w:t xml:space="preserve"> procuração apresentada nos autos</w:t>
      </w:r>
      <w:r w:rsidRPr="00C54424">
        <w:rPr>
          <w:rFonts w:ascii="Arial" w:hAnsi="Arial" w:cs="Arial"/>
          <w:sz w:val="22"/>
          <w:szCs w:val="22"/>
        </w:rPr>
        <w:t xml:space="preserve"> tendo em vista o que consta no </w:t>
      </w:r>
      <w:r w:rsidR="005466C3" w:rsidRPr="00C54424">
        <w:rPr>
          <w:rFonts w:ascii="Arial" w:hAnsi="Arial" w:cs="Arial"/>
          <w:b/>
          <w:bCs/>
          <w:sz w:val="22"/>
          <w:szCs w:val="22"/>
        </w:rPr>
        <w:t xml:space="preserve">Processo Administrativo nº </w:t>
      </w:r>
      <w:r w:rsidR="00C54424" w:rsidRPr="00C54424">
        <w:rPr>
          <w:rFonts w:ascii="Arial" w:hAnsi="Arial" w:cs="Arial"/>
          <w:b/>
          <w:bCs/>
          <w:sz w:val="22"/>
          <w:szCs w:val="22"/>
        </w:rPr>
        <w:t>20.515/2025</w:t>
      </w:r>
      <w:r w:rsidR="0071720D" w:rsidRPr="00C54424">
        <w:rPr>
          <w:rFonts w:ascii="Arial" w:hAnsi="Arial" w:cs="Arial"/>
          <w:b/>
          <w:bCs/>
          <w:sz w:val="22"/>
          <w:szCs w:val="22"/>
        </w:rPr>
        <w:t>,</w:t>
      </w:r>
      <w:r w:rsidR="005466C3" w:rsidRPr="00C54424">
        <w:rPr>
          <w:rFonts w:ascii="Arial" w:hAnsi="Arial" w:cs="Arial"/>
          <w:b/>
          <w:bCs/>
          <w:sz w:val="22"/>
          <w:szCs w:val="22"/>
        </w:rPr>
        <w:t xml:space="preserve"> </w:t>
      </w:r>
      <w:r w:rsidRPr="00C54424">
        <w:rPr>
          <w:rFonts w:ascii="Arial" w:hAnsi="Arial" w:cs="Arial"/>
          <w:sz w:val="22"/>
          <w:szCs w:val="22"/>
        </w:rPr>
        <w:t xml:space="preserve">e em observância às disposições da Lei nº </w:t>
      </w:r>
      <w:r w:rsidR="00F232EF" w:rsidRPr="00C54424">
        <w:rPr>
          <w:rFonts w:ascii="Arial" w:hAnsi="Arial" w:cs="Arial"/>
          <w:sz w:val="22"/>
          <w:szCs w:val="22"/>
        </w:rPr>
        <w:t xml:space="preserve">14.133, </w:t>
      </w:r>
      <w:r w:rsidR="009872FB" w:rsidRPr="00C54424">
        <w:rPr>
          <w:rFonts w:ascii="Arial" w:hAnsi="Arial" w:cs="Arial"/>
          <w:sz w:val="22"/>
          <w:szCs w:val="22"/>
        </w:rPr>
        <w:t xml:space="preserve">de 1º de abril </w:t>
      </w:r>
      <w:r w:rsidR="00F232EF" w:rsidRPr="00C54424">
        <w:rPr>
          <w:rFonts w:ascii="Arial" w:hAnsi="Arial" w:cs="Arial"/>
          <w:sz w:val="22"/>
          <w:szCs w:val="22"/>
        </w:rPr>
        <w:t>de 2021</w:t>
      </w:r>
      <w:r w:rsidR="0050761F" w:rsidRPr="00C54424">
        <w:rPr>
          <w:rFonts w:ascii="Arial" w:hAnsi="Arial" w:cs="Arial"/>
          <w:sz w:val="22"/>
          <w:szCs w:val="22"/>
        </w:rPr>
        <w:t xml:space="preserve"> </w:t>
      </w:r>
      <w:r w:rsidR="0050761F" w:rsidRPr="00C54424">
        <w:rPr>
          <w:rFonts w:ascii="Arial" w:hAnsi="Arial" w:cs="Arial"/>
          <w:sz w:val="22"/>
          <w:szCs w:val="22"/>
          <w:lang w:val="pt-PT"/>
        </w:rPr>
        <w:t xml:space="preserve">e </w:t>
      </w:r>
      <w:r w:rsidR="009872FB" w:rsidRPr="00C54424">
        <w:rPr>
          <w:rFonts w:ascii="Arial" w:hAnsi="Arial" w:cs="Arial"/>
          <w:sz w:val="22"/>
          <w:szCs w:val="22"/>
          <w:lang w:val="pt-PT"/>
        </w:rPr>
        <w:t>demais legislações aplicáveis</w:t>
      </w:r>
      <w:r w:rsidR="006306EF" w:rsidRPr="00C54424">
        <w:rPr>
          <w:rFonts w:ascii="Arial" w:hAnsi="Arial" w:cs="Arial"/>
          <w:sz w:val="22"/>
          <w:szCs w:val="22"/>
        </w:rPr>
        <w:t>,</w:t>
      </w:r>
      <w:r w:rsidRPr="00C54424">
        <w:rPr>
          <w:rFonts w:ascii="Arial" w:hAnsi="Arial" w:cs="Arial"/>
          <w:i/>
          <w:sz w:val="22"/>
          <w:szCs w:val="22"/>
        </w:rPr>
        <w:t xml:space="preserve"> </w:t>
      </w:r>
      <w:r w:rsidRPr="00C54424">
        <w:rPr>
          <w:rFonts w:ascii="Arial" w:hAnsi="Arial" w:cs="Arial"/>
          <w:sz w:val="22"/>
          <w:szCs w:val="22"/>
        </w:rPr>
        <w:t xml:space="preserve">resolvem celebrar o presente Termo de Contrato, decorrente do </w:t>
      </w:r>
      <w:r w:rsidR="005466C3" w:rsidRPr="00C54424">
        <w:rPr>
          <w:rFonts w:ascii="Arial" w:hAnsi="Arial" w:cs="Arial"/>
          <w:b/>
          <w:bCs/>
          <w:sz w:val="22"/>
          <w:szCs w:val="22"/>
        </w:rPr>
        <w:t>Pregão Eletrônico</w:t>
      </w:r>
      <w:r w:rsidR="000B23ED" w:rsidRPr="00C54424">
        <w:rPr>
          <w:rFonts w:ascii="Arial" w:hAnsi="Arial" w:cs="Arial"/>
          <w:b/>
          <w:bCs/>
          <w:sz w:val="22"/>
          <w:szCs w:val="22"/>
        </w:rPr>
        <w:t xml:space="preserve"> </w:t>
      </w:r>
      <w:r w:rsidR="005466C3" w:rsidRPr="00C54424">
        <w:rPr>
          <w:rFonts w:ascii="Arial" w:hAnsi="Arial" w:cs="Arial"/>
          <w:b/>
          <w:bCs/>
          <w:sz w:val="22"/>
          <w:szCs w:val="22"/>
        </w:rPr>
        <w:t xml:space="preserve">nº </w:t>
      </w:r>
      <w:r w:rsidR="00C54424" w:rsidRPr="00C54424">
        <w:rPr>
          <w:rFonts w:ascii="Arial" w:hAnsi="Arial" w:cs="Arial"/>
          <w:b/>
          <w:bCs/>
          <w:sz w:val="22"/>
          <w:szCs w:val="22"/>
        </w:rPr>
        <w:t>90.119/2025</w:t>
      </w:r>
      <w:r w:rsidRPr="00C54424">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09AAA35A"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C54424" w:rsidRPr="00C54424">
        <w:rPr>
          <w:rFonts w:ascii="Arial" w:eastAsiaTheme="majorEastAsia" w:hAnsi="Arial" w:cs="Arial"/>
          <w:b/>
          <w:bCs/>
          <w:lang w:val="pt-BR" w:eastAsia="pt-BR"/>
        </w:rPr>
        <w:t xml:space="preserve">AQUISIÇÃO </w:t>
      </w:r>
      <w:r w:rsidR="00135CF2">
        <w:rPr>
          <w:rFonts w:ascii="Arial" w:eastAsiaTheme="majorEastAsia" w:hAnsi="Arial" w:cs="Arial"/>
          <w:b/>
          <w:bCs/>
          <w:lang w:val="pt-BR" w:eastAsia="pt-BR"/>
        </w:rPr>
        <w:t xml:space="preserve">DE </w:t>
      </w:r>
      <w:r w:rsidR="00C54424" w:rsidRPr="00C54424">
        <w:rPr>
          <w:rFonts w:ascii="Arial" w:eastAsiaTheme="majorEastAsia" w:hAnsi="Arial" w:cs="Arial"/>
          <w:b/>
          <w:bCs/>
          <w:lang w:val="pt-BR" w:eastAsia="pt-BR"/>
        </w:rPr>
        <w:t>CADEIRAS LONGARINAS, para atender as necessidades do Hospital Municipal Raul Sertã e Hospital Maternidade Dr. Mário Dutra de Castro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199D5A28" w:rsidR="007B0D84" w:rsidRPr="00390A03" w:rsidRDefault="00390A03" w:rsidP="00390A0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390A03">
        <w:rPr>
          <w:rFonts w:ascii="Arial" w:hAnsi="Arial" w:cs="Arial"/>
          <w:bCs/>
          <w:iCs/>
          <w:u w:val="single"/>
        </w:rPr>
        <w:t>MODELO DE EXECUÇÃO DO OBJETO:</w:t>
      </w:r>
    </w:p>
    <w:p w14:paraId="0FA0F7EC" w14:textId="1DAB9F77" w:rsidR="00390A03" w:rsidRPr="00390A03" w:rsidRDefault="00390A03" w:rsidP="00390A03">
      <w:pPr>
        <w:pStyle w:val="PargrafodaLista"/>
        <w:numPr>
          <w:ilvl w:val="2"/>
          <w:numId w:val="2"/>
        </w:numPr>
        <w:spacing w:line="360" w:lineRule="auto"/>
        <w:ind w:left="0" w:firstLine="0"/>
        <w:jc w:val="both"/>
        <w:rPr>
          <w:rFonts w:ascii="Arial" w:hAnsi="Arial" w:cs="Arial"/>
          <w:bCs/>
          <w:iCs/>
        </w:rPr>
      </w:pPr>
      <w:r w:rsidRPr="00390A03">
        <w:rPr>
          <w:rFonts w:ascii="Arial" w:hAnsi="Arial" w:cs="Arial"/>
          <w:bCs/>
          <w:iCs/>
        </w:rPr>
        <w:t>Os itens deverão ser entregues em parcela única, no prazo máximo de 30 (trinta) dias corridos, contados a partir do recebimento da nota de empenho.</w:t>
      </w:r>
    </w:p>
    <w:p w14:paraId="2D53D3F7" w14:textId="23CE6754" w:rsidR="00390A03" w:rsidRPr="00390A03" w:rsidRDefault="00390A03" w:rsidP="00390A03">
      <w:pPr>
        <w:pStyle w:val="PargrafodaLista"/>
        <w:numPr>
          <w:ilvl w:val="2"/>
          <w:numId w:val="2"/>
        </w:numPr>
        <w:spacing w:line="360" w:lineRule="auto"/>
        <w:ind w:left="0" w:firstLine="0"/>
        <w:jc w:val="both"/>
        <w:rPr>
          <w:rFonts w:ascii="Arial" w:hAnsi="Arial" w:cs="Arial"/>
          <w:bCs/>
          <w:iCs/>
        </w:rPr>
      </w:pPr>
      <w:r w:rsidRPr="00390A03">
        <w:rPr>
          <w:rFonts w:ascii="Arial" w:hAnsi="Arial" w:cs="Arial"/>
          <w:bCs/>
          <w:iCs/>
        </w:rPr>
        <w:t>Caso não seja possível a entrega no prazo acima, a empresa deverá comunicar as razões respectivas com pelo menos 5 (cinco) dias de antecedência para que qualquer pleito de prorrogação de prazo seja analisado.</w:t>
      </w:r>
    </w:p>
    <w:p w14:paraId="03F787E8" w14:textId="4BF19653" w:rsidR="00390A03" w:rsidRPr="00390A03" w:rsidRDefault="00390A03" w:rsidP="00390A03">
      <w:pPr>
        <w:pStyle w:val="PargrafodaLista"/>
        <w:numPr>
          <w:ilvl w:val="2"/>
          <w:numId w:val="2"/>
        </w:numPr>
        <w:spacing w:line="360" w:lineRule="auto"/>
        <w:ind w:left="0" w:firstLine="0"/>
        <w:jc w:val="both"/>
        <w:rPr>
          <w:rFonts w:ascii="Arial" w:hAnsi="Arial" w:cs="Arial"/>
          <w:bCs/>
          <w:iCs/>
        </w:rPr>
      </w:pPr>
      <w:r w:rsidRPr="00390A03">
        <w:rPr>
          <w:rFonts w:ascii="Arial" w:hAnsi="Arial" w:cs="Arial"/>
          <w:bCs/>
          <w:iCs/>
        </w:rPr>
        <w:t>Os bens deverão ser entregues diretamente nas dependências do Hospital Municipal Raul Sertã (HMRS) e do Hospital Maternidade Dr. Mário Dutra de Castro (HMMDC), nos locais e quantidades exatas a serem indicados pela fiscalização do contrato no momento oportuno.</w:t>
      </w:r>
    </w:p>
    <w:p w14:paraId="4A2590F5" w14:textId="385D9E52" w:rsidR="00390A03" w:rsidRPr="00390A03" w:rsidRDefault="00390A03" w:rsidP="00390A03">
      <w:pPr>
        <w:pStyle w:val="PargrafodaLista"/>
        <w:numPr>
          <w:ilvl w:val="2"/>
          <w:numId w:val="2"/>
        </w:numPr>
        <w:spacing w:line="360" w:lineRule="auto"/>
        <w:ind w:left="0" w:firstLine="0"/>
        <w:jc w:val="both"/>
        <w:rPr>
          <w:rFonts w:ascii="Arial" w:hAnsi="Arial" w:cs="Arial"/>
          <w:bCs/>
          <w:iCs/>
        </w:rPr>
      </w:pPr>
      <w:r w:rsidRPr="00390A03">
        <w:rPr>
          <w:rFonts w:ascii="Arial" w:hAnsi="Arial" w:cs="Arial"/>
          <w:bCs/>
          <w:iCs/>
        </w:rPr>
        <w:t>As entregas deverão ser realizadas de segunda a sexta-feira, no horário de 09:00h às 16:00h.</w:t>
      </w:r>
    </w:p>
    <w:p w14:paraId="1E36D5A5" w14:textId="3F4FB08D" w:rsidR="00390A03" w:rsidRPr="00390A03" w:rsidRDefault="00390A03" w:rsidP="00390A03">
      <w:pPr>
        <w:pStyle w:val="PargrafodaLista"/>
        <w:numPr>
          <w:ilvl w:val="2"/>
          <w:numId w:val="2"/>
        </w:numPr>
        <w:spacing w:line="360" w:lineRule="auto"/>
        <w:ind w:left="0" w:firstLine="0"/>
        <w:jc w:val="both"/>
        <w:rPr>
          <w:rFonts w:ascii="Arial" w:hAnsi="Arial" w:cs="Arial"/>
          <w:bCs/>
          <w:iCs/>
        </w:rPr>
      </w:pPr>
      <w:r w:rsidRPr="00390A03">
        <w:rPr>
          <w:rFonts w:ascii="Arial" w:hAnsi="Arial" w:cs="Arial"/>
          <w:bCs/>
          <w:iCs/>
        </w:rPr>
        <w:t>Os bens serão recebidos provisoriamente, de forma sumária, no prazo de 2 (dois) dias úteis, pelo responsável pelo acompanhamento e fiscalização do contrato, para efeito de posterior verificação de sua conformidade com as especificações.</w:t>
      </w:r>
    </w:p>
    <w:p w14:paraId="38AED370" w14:textId="4CCEB8D4" w:rsidR="00390A03" w:rsidRPr="00390A03" w:rsidRDefault="00390A03" w:rsidP="00390A03">
      <w:pPr>
        <w:pStyle w:val="PargrafodaLista"/>
        <w:numPr>
          <w:ilvl w:val="2"/>
          <w:numId w:val="2"/>
        </w:numPr>
        <w:spacing w:line="360" w:lineRule="auto"/>
        <w:ind w:left="0" w:firstLine="0"/>
        <w:jc w:val="both"/>
        <w:rPr>
          <w:rFonts w:ascii="Arial" w:hAnsi="Arial" w:cs="Arial"/>
          <w:bCs/>
          <w:iCs/>
        </w:rPr>
      </w:pPr>
      <w:r w:rsidRPr="00390A03">
        <w:rPr>
          <w:rFonts w:ascii="Arial" w:hAnsi="Arial" w:cs="Arial"/>
          <w:bCs/>
          <w:iCs/>
        </w:rPr>
        <w:t>Os bens poderão ser rejeitados, no todo ou em parte, quando em desacordo com as especificações constantes neste Termo de Referência e na proposta, devendo ser substituídos no prazo de 5 (cinco) dias úteis, a contar da notificação da contratada, às suas custas, sem prejuízo da aplicação das penalidades.</w:t>
      </w:r>
    </w:p>
    <w:p w14:paraId="202EC290" w14:textId="77777777" w:rsidR="00390A03" w:rsidRPr="00390A03" w:rsidRDefault="00390A03" w:rsidP="00390A03">
      <w:pPr>
        <w:pStyle w:val="PargrafodaLista"/>
        <w:numPr>
          <w:ilvl w:val="2"/>
          <w:numId w:val="2"/>
        </w:numPr>
        <w:spacing w:line="360" w:lineRule="auto"/>
        <w:ind w:left="0" w:firstLine="0"/>
        <w:jc w:val="both"/>
        <w:rPr>
          <w:rFonts w:ascii="Arial" w:hAnsi="Arial" w:cs="Arial"/>
          <w:bCs/>
          <w:iCs/>
        </w:rPr>
      </w:pPr>
      <w:r w:rsidRPr="00390A03">
        <w:rPr>
          <w:rFonts w:ascii="Arial" w:hAnsi="Arial" w:cs="Arial"/>
          <w:bCs/>
          <w:iCs/>
        </w:rPr>
        <w:t xml:space="preserve">Os bens serão recebidos definitivamente no prazo de 5 (cinco) dias úteis, contados do </w:t>
      </w:r>
      <w:r w:rsidRPr="00390A03">
        <w:rPr>
          <w:rFonts w:ascii="Arial" w:hAnsi="Arial" w:cs="Arial"/>
          <w:bCs/>
          <w:iCs/>
        </w:rPr>
        <w:lastRenderedPageBreak/>
        <w:t>recebimento provisório, após a verificação da qualidade e quantidade do material e consequente aceite mediante termo detalhado.</w:t>
      </w:r>
    </w:p>
    <w:p w14:paraId="07052557" w14:textId="77777777" w:rsidR="00390A03" w:rsidRPr="00390A03" w:rsidRDefault="00390A03" w:rsidP="00390A03">
      <w:pPr>
        <w:pStyle w:val="PargrafodaLista"/>
        <w:numPr>
          <w:ilvl w:val="2"/>
          <w:numId w:val="2"/>
        </w:numPr>
        <w:spacing w:line="360" w:lineRule="auto"/>
        <w:ind w:left="0" w:firstLine="0"/>
        <w:jc w:val="both"/>
        <w:rPr>
          <w:rFonts w:ascii="Arial" w:hAnsi="Arial" w:cs="Arial"/>
          <w:bCs/>
          <w:iCs/>
        </w:rPr>
      </w:pPr>
      <w:r w:rsidRPr="00390A03">
        <w:rPr>
          <w:rFonts w:ascii="Arial" w:hAnsi="Arial" w:cs="Arial"/>
          <w:bCs/>
          <w:iCs/>
        </w:rPr>
        <w:t>A garantia contratual dos bens, complementar à garantia legal, será de, no mínimo, 12 (doze) meses, ou pelo prazo fornecido pelo fabricante, se superior, contado a partir do primeiro dia útil subsequente à data do recebimento definitivo do objeto.</w:t>
      </w:r>
    </w:p>
    <w:p w14:paraId="58764CA8" w14:textId="77777777" w:rsidR="00390A03" w:rsidRPr="00390A03" w:rsidRDefault="00390A03" w:rsidP="00390A03">
      <w:pPr>
        <w:pStyle w:val="PargrafodaLista"/>
        <w:numPr>
          <w:ilvl w:val="2"/>
          <w:numId w:val="2"/>
        </w:numPr>
        <w:spacing w:line="360" w:lineRule="auto"/>
        <w:ind w:left="0" w:firstLine="0"/>
        <w:jc w:val="both"/>
        <w:rPr>
          <w:rFonts w:ascii="Arial" w:hAnsi="Arial" w:cs="Arial"/>
          <w:bCs/>
          <w:iCs/>
        </w:rPr>
      </w:pPr>
      <w:r w:rsidRPr="00390A03">
        <w:rPr>
          <w:rFonts w:ascii="Arial" w:hAnsi="Arial" w:cs="Arial"/>
          <w:bCs/>
          <w:iCs/>
        </w:rPr>
        <w:t>A garantia abrange a realização da manutenção corretiva dos bens, compreendendo a substituição de peças, a realização de ajustes e reparos necessários para manter os itens em perfeitas condições de uso, sem qualquer ônus para a Contratante.</w:t>
      </w:r>
    </w:p>
    <w:p w14:paraId="2B192513" w14:textId="77777777" w:rsidR="00390A03" w:rsidRPr="00390A03" w:rsidRDefault="00390A03" w:rsidP="00390A03">
      <w:pPr>
        <w:pStyle w:val="PargrafodaLista"/>
        <w:numPr>
          <w:ilvl w:val="2"/>
          <w:numId w:val="2"/>
        </w:numPr>
        <w:spacing w:line="360" w:lineRule="auto"/>
        <w:ind w:left="0" w:firstLine="0"/>
        <w:jc w:val="both"/>
        <w:rPr>
          <w:rFonts w:ascii="Arial" w:hAnsi="Arial" w:cs="Arial"/>
          <w:bCs/>
          <w:iCs/>
        </w:rPr>
      </w:pPr>
      <w:r w:rsidRPr="00390A03">
        <w:rPr>
          <w:rFonts w:ascii="Arial" w:hAnsi="Arial" w:cs="Arial"/>
          <w:bCs/>
          <w:iCs/>
        </w:rPr>
        <w:t>Uma vez notificado sobre qualquer defeito, o Contratado realizará a reparação ou substituição do bem no prazo de até 5 (cinco) dias úteis.</w:t>
      </w:r>
    </w:p>
    <w:p w14:paraId="214524CC" w14:textId="00D7F51B" w:rsidR="00390A03" w:rsidRDefault="00390A03" w:rsidP="00390A03">
      <w:pPr>
        <w:pStyle w:val="PargrafodaLista"/>
        <w:numPr>
          <w:ilvl w:val="2"/>
          <w:numId w:val="2"/>
        </w:numPr>
        <w:spacing w:line="360" w:lineRule="auto"/>
        <w:ind w:left="0" w:firstLine="0"/>
        <w:jc w:val="both"/>
        <w:rPr>
          <w:rFonts w:ascii="Arial" w:hAnsi="Arial" w:cs="Arial"/>
          <w:bCs/>
          <w:iCs/>
        </w:rPr>
      </w:pPr>
      <w:r w:rsidRPr="00390A03">
        <w:rPr>
          <w:rFonts w:ascii="Arial" w:hAnsi="Arial" w:cs="Arial"/>
          <w:bCs/>
          <w:iCs/>
        </w:rPr>
        <w:t>O custo referente ao transporte dos bens para reparo ou substituição durante o período de garantia será de total responsabilidade da Contratada.</w:t>
      </w:r>
    </w:p>
    <w:p w14:paraId="77E2B5B7" w14:textId="3ECD2C5F" w:rsidR="00390A03" w:rsidRPr="00657270" w:rsidRDefault="00390A03" w:rsidP="00657270">
      <w:pPr>
        <w:pStyle w:val="PargrafodaLista"/>
        <w:numPr>
          <w:ilvl w:val="1"/>
          <w:numId w:val="2"/>
        </w:numPr>
        <w:spacing w:line="360" w:lineRule="auto"/>
        <w:ind w:left="0" w:firstLine="0"/>
        <w:jc w:val="both"/>
        <w:rPr>
          <w:rFonts w:ascii="Arial" w:hAnsi="Arial" w:cs="Arial"/>
          <w:bCs/>
          <w:iCs/>
          <w:u w:val="single"/>
        </w:rPr>
      </w:pPr>
      <w:r w:rsidRPr="00657270">
        <w:rPr>
          <w:rFonts w:ascii="Arial" w:hAnsi="Arial" w:cs="Arial"/>
          <w:bCs/>
          <w:iCs/>
          <w:u w:val="single"/>
        </w:rPr>
        <w:t>MODELO DE GESTÃO DO CONTRATO:</w:t>
      </w:r>
    </w:p>
    <w:p w14:paraId="3A19136F" w14:textId="77777777" w:rsidR="00390A03"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t>O contrato deverá ser executado fielmente pelas partes, de acordo com as cláusulas avençadas e as normas da Lei nº 14.133, de 2021, e cada parte responderá pelas consequências de sua inexecução total ou parcial.</w:t>
      </w:r>
    </w:p>
    <w:p w14:paraId="105CD031" w14:textId="77777777" w:rsidR="00390A03"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t>A execução do contrato deverá ser acompanhada e fiscalizada pelo(s) fiscal(is) do contrato, ou pelos respectivos substitutos.</w:t>
      </w:r>
    </w:p>
    <w:p w14:paraId="0DAD7EDA" w14:textId="77777777" w:rsidR="00390A03"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t>O fiscal do contrato anotará em registro próprio todas as ocorrências relacionadas à execução do contrato, determinando o que for necessário para a regularização das faltas ou dos defeitos observados.</w:t>
      </w:r>
    </w:p>
    <w:p w14:paraId="3F4558A0" w14:textId="77777777" w:rsidR="00390A03"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t>O fiscal do contrato informará a seus superiores, em tempo hábil para a adoção das medidas convenientes, a situação que demandar decisão ou providência que ultrapasse sua competência.</w:t>
      </w:r>
    </w:p>
    <w:p w14:paraId="5EA7A814" w14:textId="77777777" w:rsidR="00390A03"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t>O contratado será obrigado a reparar, corrigir, remover, ou substituir, a suas expensas, no total ou em parte, o objeto do contrato em que se verificarem vícios, defeitos ou incorreções resultantes de sua execução ou de materiais nela empregados.</w:t>
      </w:r>
    </w:p>
    <w:p w14:paraId="5FE054AB" w14:textId="77777777" w:rsidR="00390A03"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w:t>
      </w:r>
    </w:p>
    <w:p w14:paraId="3CC9BF14" w14:textId="77777777" w:rsidR="00390A03"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lastRenderedPageBreak/>
        <w:t>Somente o contratado será responsável pelos encargos trabalhistas, previdenciários, fiscais e comerciais resultantes da execução do contrato.</w:t>
      </w:r>
    </w:p>
    <w:p w14:paraId="43E3F291" w14:textId="77777777" w:rsidR="00390A03"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t>A inadimplência do contratado em relação aos encargos trabalhistas, fiscais e comerciais não transferirá à Administração a responsabilidade pelo seu pagamento e não poderá onerar o objeto do contrato.</w:t>
      </w:r>
    </w:p>
    <w:p w14:paraId="3DE33887" w14:textId="77777777" w:rsidR="00390A03"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12EF00C6" w14:textId="77777777" w:rsidR="00390A03"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t>O órgão ou entidade poderá convocar representante da empresa para adoção de providências que devam ser cumpridas de imediato.</w:t>
      </w:r>
    </w:p>
    <w:p w14:paraId="20E658F9" w14:textId="77777777" w:rsidR="00390A03"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7CB880AB" w14:textId="77777777" w:rsidR="00390A03"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t>Para o acompanhamento, gestão e fiscalização da execução do presente contrato, serão designados em momento posterior, antes da execução do objeto, agentes públicos gestor/gestor substituto e fiscal/fiscal substituto.</w:t>
      </w:r>
    </w:p>
    <w:p w14:paraId="3A309F38" w14:textId="77777777" w:rsidR="00657270"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t>O(s) fiscal(is) designado pela Contratante deverá ter a experiência necessária para o acompanhamento e controle do fornecimento dos bens e do contrato.</w:t>
      </w:r>
    </w:p>
    <w:p w14:paraId="1E20002C" w14:textId="06E92B59" w:rsidR="00390A03" w:rsidRPr="00657270" w:rsidRDefault="00390A03" w:rsidP="00657270">
      <w:pPr>
        <w:pStyle w:val="PargrafodaLista"/>
        <w:numPr>
          <w:ilvl w:val="2"/>
          <w:numId w:val="2"/>
        </w:numPr>
        <w:spacing w:line="360" w:lineRule="auto"/>
        <w:ind w:left="0" w:firstLine="0"/>
        <w:jc w:val="both"/>
        <w:rPr>
          <w:rFonts w:ascii="Arial" w:hAnsi="Arial" w:cs="Arial"/>
          <w:bCs/>
          <w:iCs/>
        </w:rPr>
      </w:pPr>
      <w:r w:rsidRPr="00657270">
        <w:rPr>
          <w:rFonts w:ascii="Arial" w:hAnsi="Arial" w:cs="Arial"/>
          <w:bCs/>
          <w:iCs/>
        </w:rPr>
        <w:t>A fiscalização não exclui nem reduz a responsabilidade da Contratada pelos danos causados à Administração ou a terceiros, decorrentes de sua culpa ou dolo na execução do contrato.</w:t>
      </w:r>
    </w:p>
    <w:p w14:paraId="2BF3B0AA" w14:textId="77777777" w:rsidR="00390A03" w:rsidRPr="00390A03" w:rsidRDefault="00390A03" w:rsidP="00390A03">
      <w:pPr>
        <w:spacing w:line="360" w:lineRule="auto"/>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657270"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57270">
        <w:rPr>
          <w:rFonts w:ascii="Arial" w:hAnsi="Arial" w:cs="Arial"/>
          <w:bCs/>
          <w:iCs/>
        </w:rPr>
        <w:t>O valor total da contratação é de R$.......... (.....)</w:t>
      </w:r>
    </w:p>
    <w:p w14:paraId="19E0CAC1" w14:textId="3066B963" w:rsidR="001D32DF" w:rsidRPr="00657270"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57270">
        <w:rPr>
          <w:rFonts w:ascii="Arial" w:hAnsi="Arial" w:cs="Arial"/>
          <w:bCs/>
          <w:iCs/>
        </w:rPr>
        <w:t xml:space="preserve">No valor acima estão incluídas todas as despesas ordinárias diretas e indiretas decorrentes da execução contratual, inclusive tributos e/ou impostos, encargos sociais, </w:t>
      </w:r>
      <w:r w:rsidRPr="00657270">
        <w:rPr>
          <w:rFonts w:ascii="Arial" w:hAnsi="Arial" w:cs="Arial"/>
          <w:bCs/>
          <w:iCs/>
        </w:rPr>
        <w:lastRenderedPageBreak/>
        <w:t>trabalhistas, previdenciários, fiscais e comerciais incidentes, taxa de administração, frete, seguro e outros necessários ao cumprimento integral do objeto da contratação.</w:t>
      </w:r>
    </w:p>
    <w:p w14:paraId="6F1CFCBF" w14:textId="69D61111" w:rsidR="00147B9F" w:rsidRPr="00657270"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57270">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0608E3">
      <w:pPr>
        <w:pStyle w:val="PargrafodaLista"/>
        <w:numPr>
          <w:ilvl w:val="0"/>
          <w:numId w:val="2"/>
        </w:numPr>
        <w:tabs>
          <w:tab w:val="left" w:pos="284"/>
        </w:tabs>
        <w:spacing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1C83B764" w14:textId="77777777" w:rsidR="000608E3" w:rsidRPr="000608E3" w:rsidRDefault="000608E3" w:rsidP="000608E3">
      <w:pPr>
        <w:pStyle w:val="Nivel2"/>
        <w:spacing w:before="0" w:after="0" w:line="360" w:lineRule="auto"/>
        <w:rPr>
          <w:rFonts w:eastAsia="Verdana"/>
          <w:bCs/>
          <w:iCs/>
          <w:color w:val="auto"/>
          <w:sz w:val="22"/>
          <w:szCs w:val="22"/>
          <w:lang w:val="pt-PT" w:eastAsia="en-US"/>
        </w:rPr>
      </w:pPr>
      <w:r w:rsidRPr="000608E3">
        <w:rPr>
          <w:rFonts w:eastAsia="Verdana"/>
          <w:bCs/>
          <w:iCs/>
          <w:color w:val="auto"/>
          <w:sz w:val="22"/>
          <w:szCs w:val="22"/>
          <w:lang w:val="pt-PT" w:eastAsia="en-US"/>
        </w:rPr>
        <w:t xml:space="preserve">6.1 As notas fiscais deverão ser emitidas em nome de: </w:t>
      </w:r>
      <w:r w:rsidRPr="000608E3">
        <w:rPr>
          <w:rFonts w:eastAsia="Verdana"/>
          <w:b/>
          <w:iCs/>
          <w:color w:val="auto"/>
          <w:sz w:val="22"/>
          <w:szCs w:val="22"/>
          <w:lang w:val="pt-PT" w:eastAsia="en-US"/>
        </w:rPr>
        <w:t>FUNDO MUNICIPAL DE SAÚDE CNPJ: 11.399.442/0001-79 AVENIDA ALBERTO BRAUNE, Nº 224, SALA 221, CENTRO, NOVA FRIBURGO/RJ, CEP 28613-001</w:t>
      </w:r>
      <w:r w:rsidRPr="000608E3">
        <w:rPr>
          <w:rFonts w:eastAsia="Verdana"/>
          <w:bCs/>
          <w:iCs/>
          <w:color w:val="auto"/>
          <w:sz w:val="22"/>
          <w:szCs w:val="22"/>
          <w:lang w:val="pt-PT" w:eastAsia="en-US"/>
        </w:rPr>
        <w:t>.</w:t>
      </w:r>
    </w:p>
    <w:p w14:paraId="041F26E9" w14:textId="1D308185" w:rsidR="000608E3" w:rsidRPr="000608E3" w:rsidRDefault="000608E3" w:rsidP="000608E3">
      <w:pPr>
        <w:pStyle w:val="Nivel2"/>
        <w:spacing w:before="0" w:after="0" w:line="360" w:lineRule="auto"/>
        <w:rPr>
          <w:rFonts w:eastAsia="Verdana"/>
          <w:bCs/>
          <w:iCs/>
          <w:color w:val="auto"/>
          <w:sz w:val="22"/>
          <w:szCs w:val="22"/>
          <w:lang w:val="pt-PT" w:eastAsia="en-US"/>
        </w:rPr>
      </w:pPr>
      <w:r w:rsidRPr="000608E3">
        <w:rPr>
          <w:rFonts w:eastAsia="Verdana"/>
          <w:bCs/>
          <w:iCs/>
          <w:color w:val="auto"/>
          <w:sz w:val="22"/>
          <w:szCs w:val="22"/>
          <w:lang w:val="pt-PT" w:eastAsia="en-US"/>
        </w:rPr>
        <w:t>6.2 Os bens deverão ser entregues montados diretamente nas dependências do Hospital Municipal Raul Sertã (HMRS) e do Hospital Maternidade Dr. Mário Dutra de Castro (HMMDC), nos locais e quantidades a serem especificados pela fiscalização do contrato.</w:t>
      </w:r>
    </w:p>
    <w:p w14:paraId="3A24793C" w14:textId="43437C2E" w:rsidR="000608E3" w:rsidRPr="000608E3" w:rsidRDefault="000608E3" w:rsidP="000608E3">
      <w:pPr>
        <w:pStyle w:val="Nivel2"/>
        <w:spacing w:before="0" w:after="0" w:line="360" w:lineRule="auto"/>
        <w:rPr>
          <w:rFonts w:eastAsia="Verdana"/>
          <w:bCs/>
          <w:iCs/>
          <w:color w:val="auto"/>
          <w:sz w:val="22"/>
          <w:szCs w:val="22"/>
          <w:u w:val="single"/>
          <w:lang w:val="pt-PT" w:eastAsia="en-US"/>
        </w:rPr>
      </w:pPr>
      <w:r w:rsidRPr="000608E3">
        <w:rPr>
          <w:rFonts w:eastAsia="Verdana"/>
          <w:bCs/>
          <w:iCs/>
          <w:color w:val="auto"/>
          <w:sz w:val="22"/>
          <w:szCs w:val="22"/>
          <w:u w:val="single"/>
          <w:lang w:val="pt-PT" w:eastAsia="en-US"/>
        </w:rPr>
        <w:t xml:space="preserve">6.3 Da liquidação da despesa: </w:t>
      </w:r>
    </w:p>
    <w:p w14:paraId="7360D968" w14:textId="36A1D471" w:rsidR="00DE14C5" w:rsidRPr="00DE14C5" w:rsidRDefault="00DE14C5" w:rsidP="00DE14C5">
      <w:pPr>
        <w:pStyle w:val="Nivel2"/>
        <w:spacing w:before="0" w:after="0" w:line="360" w:lineRule="auto"/>
        <w:rPr>
          <w:rFonts w:eastAsia="Verdana"/>
          <w:bCs/>
          <w:iCs/>
          <w:color w:val="auto"/>
          <w:sz w:val="22"/>
          <w:szCs w:val="22"/>
          <w:lang w:val="pt-PT" w:eastAsia="en-US"/>
        </w:rPr>
      </w:pPr>
      <w:r w:rsidRPr="00DE14C5">
        <w:rPr>
          <w:rFonts w:eastAsia="Verdana"/>
          <w:bCs/>
          <w:iCs/>
          <w:color w:val="auto"/>
          <w:sz w:val="22"/>
          <w:szCs w:val="22"/>
          <w:lang w:val="pt-PT" w:eastAsia="en-US"/>
        </w:rPr>
        <w:t>6.3.1 A liquidação será realizada pela Secretaria de Fazenda, a partir do cumprimento das obrigações elencadas neste Termo de Referência, em obediência ao Decreto nº 2.493, de 07 de novembro de 2023. 7.3.2. Deverá ser observado no momento da emissão do Documento Fiscal e na liquidação da despesa os dispositivos do Decreto Municipal nº 2.480/2023, o qual dispõe sobre arrecadação do Imposto de Renda incidente na fonte.</w:t>
      </w:r>
    </w:p>
    <w:p w14:paraId="244BBC4E" w14:textId="7D7AE280" w:rsidR="000608E3" w:rsidRPr="000608E3" w:rsidRDefault="00DE14C5" w:rsidP="000608E3">
      <w:pPr>
        <w:pStyle w:val="Nivel2"/>
        <w:spacing w:before="0" w:after="0" w:line="360" w:lineRule="auto"/>
        <w:rPr>
          <w:rFonts w:eastAsia="Verdana"/>
          <w:bCs/>
          <w:iCs/>
          <w:color w:val="auto"/>
          <w:sz w:val="22"/>
          <w:szCs w:val="22"/>
          <w:lang w:val="pt-PT" w:eastAsia="en-US"/>
        </w:rPr>
      </w:pPr>
      <w:r>
        <w:rPr>
          <w:rFonts w:eastAsia="Verdana"/>
          <w:bCs/>
          <w:iCs/>
          <w:color w:val="auto"/>
          <w:sz w:val="22"/>
          <w:szCs w:val="22"/>
          <w:lang w:val="pt-PT" w:eastAsia="en-US"/>
        </w:rPr>
        <w:t>6</w:t>
      </w:r>
      <w:r w:rsidR="000608E3" w:rsidRPr="000608E3">
        <w:rPr>
          <w:rFonts w:eastAsia="Verdana"/>
          <w:bCs/>
          <w:iCs/>
          <w:color w:val="auto"/>
          <w:sz w:val="22"/>
          <w:szCs w:val="22"/>
          <w:lang w:val="pt-PT" w:eastAsia="en-US"/>
        </w:rPr>
        <w:t>.3.2. Deverá ser observado no momento da emissão do Documento Fiscal e na liquidação da despesa os dispositivos do Decreto Municipal nº 2.480/2023, o qual dispõe sobre arrecadação do Imposto de Renda incidente na fonte.</w:t>
      </w:r>
    </w:p>
    <w:p w14:paraId="0883B715" w14:textId="0FB1B68E" w:rsidR="000608E3" w:rsidRPr="000608E3" w:rsidRDefault="000608E3" w:rsidP="000608E3">
      <w:pPr>
        <w:pStyle w:val="Nivel2"/>
        <w:spacing w:before="0" w:after="0" w:line="360" w:lineRule="auto"/>
        <w:rPr>
          <w:rFonts w:eastAsia="Verdana"/>
          <w:bCs/>
          <w:iCs/>
          <w:color w:val="auto"/>
          <w:sz w:val="22"/>
          <w:szCs w:val="22"/>
          <w:u w:val="single"/>
          <w:lang w:val="pt-PT" w:eastAsia="en-US"/>
        </w:rPr>
      </w:pPr>
      <w:r w:rsidRPr="000608E3">
        <w:rPr>
          <w:rFonts w:eastAsia="Verdana"/>
          <w:bCs/>
          <w:iCs/>
          <w:color w:val="auto"/>
          <w:sz w:val="22"/>
          <w:szCs w:val="22"/>
          <w:u w:val="single"/>
          <w:lang w:val="pt-PT" w:eastAsia="en-US"/>
        </w:rPr>
        <w:t xml:space="preserve">6.4 Do pagamento da despesa: </w:t>
      </w:r>
    </w:p>
    <w:p w14:paraId="401363B1" w14:textId="0FAF65DB" w:rsidR="000608E3" w:rsidRPr="000608E3" w:rsidRDefault="000608E3" w:rsidP="000608E3">
      <w:pPr>
        <w:pStyle w:val="Nivel2"/>
        <w:spacing w:before="0" w:after="0" w:line="360" w:lineRule="auto"/>
        <w:rPr>
          <w:rFonts w:eastAsia="Verdana"/>
          <w:bCs/>
          <w:iCs/>
          <w:color w:val="auto"/>
          <w:sz w:val="22"/>
          <w:szCs w:val="22"/>
          <w:lang w:val="pt-PT" w:eastAsia="en-US"/>
        </w:rPr>
      </w:pPr>
      <w:r w:rsidRPr="000608E3">
        <w:rPr>
          <w:rFonts w:eastAsia="Verdana"/>
          <w:bCs/>
          <w:iCs/>
          <w:color w:val="auto"/>
          <w:sz w:val="22"/>
          <w:szCs w:val="22"/>
          <w:lang w:val="pt-PT" w:eastAsia="en-US"/>
        </w:rPr>
        <w:t xml:space="preserve">6.4.1 O pagamento será efetuado conforme estabelecido no Decreto Municipal nº 2.493, de 07 de novembro de 2023, desde que as certidões de regularidade fiscal e trabalhista da empresa estejam válidas. </w:t>
      </w:r>
    </w:p>
    <w:p w14:paraId="42E44695" w14:textId="6F3F8E53" w:rsidR="000608E3" w:rsidRPr="000608E3" w:rsidRDefault="000608E3" w:rsidP="000608E3">
      <w:pPr>
        <w:pStyle w:val="Nivel2"/>
        <w:spacing w:before="0" w:after="0" w:line="360" w:lineRule="auto"/>
        <w:rPr>
          <w:rFonts w:eastAsia="Verdana"/>
          <w:bCs/>
          <w:iCs/>
          <w:color w:val="auto"/>
          <w:sz w:val="22"/>
          <w:szCs w:val="22"/>
          <w:lang w:val="pt-PT" w:eastAsia="en-US"/>
        </w:rPr>
      </w:pPr>
      <w:r w:rsidRPr="000608E3">
        <w:rPr>
          <w:rFonts w:eastAsia="Verdana"/>
          <w:bCs/>
          <w:iCs/>
          <w:color w:val="auto"/>
          <w:sz w:val="22"/>
          <w:szCs w:val="22"/>
          <w:lang w:val="pt-PT" w:eastAsia="en-US"/>
        </w:rPr>
        <w:t xml:space="preserve">6.4.2 A Nota Fiscal deverá conter a identificação do Banco, número da Agência e da Conta Corrente, para que possibilite o CONTRATANTE efetuar o pagamento do valor devido. </w:t>
      </w:r>
    </w:p>
    <w:p w14:paraId="4A748E55" w14:textId="226434B2" w:rsidR="000608E3" w:rsidRPr="000608E3" w:rsidRDefault="000608E3" w:rsidP="000608E3">
      <w:pPr>
        <w:pStyle w:val="Nivel2"/>
        <w:spacing w:before="0" w:after="0" w:line="360" w:lineRule="auto"/>
        <w:rPr>
          <w:rFonts w:eastAsia="Verdana"/>
          <w:bCs/>
          <w:iCs/>
          <w:color w:val="auto"/>
          <w:sz w:val="22"/>
          <w:szCs w:val="22"/>
          <w:lang w:val="pt-PT" w:eastAsia="en-US"/>
        </w:rPr>
      </w:pPr>
      <w:r w:rsidRPr="000608E3">
        <w:rPr>
          <w:rFonts w:eastAsia="Verdana"/>
          <w:bCs/>
          <w:iCs/>
          <w:color w:val="auto"/>
          <w:sz w:val="22"/>
          <w:szCs w:val="22"/>
          <w:lang w:val="pt-PT" w:eastAsia="en-US"/>
        </w:rPr>
        <w:t xml:space="preserve">6.4.3 Na ocorrência de rejeição da Nota Fiscal, motivada por erro ou incorreções, o prazo para pagamento passará a ser contado a partir da data de sua reapresentação. </w:t>
      </w:r>
    </w:p>
    <w:p w14:paraId="7485224D" w14:textId="57061E16" w:rsidR="000608E3" w:rsidRPr="000608E3" w:rsidRDefault="000608E3" w:rsidP="000608E3">
      <w:pPr>
        <w:pStyle w:val="Nivel2"/>
        <w:spacing w:before="0" w:after="0" w:line="360" w:lineRule="auto"/>
        <w:rPr>
          <w:rFonts w:eastAsia="Verdana"/>
          <w:bCs/>
          <w:iCs/>
          <w:color w:val="auto"/>
          <w:sz w:val="22"/>
          <w:szCs w:val="22"/>
          <w:lang w:val="pt-PT" w:eastAsia="en-US"/>
        </w:rPr>
      </w:pPr>
      <w:r w:rsidRPr="000608E3">
        <w:rPr>
          <w:rFonts w:eastAsia="Verdana"/>
          <w:bCs/>
          <w:iCs/>
          <w:color w:val="auto"/>
          <w:sz w:val="22"/>
          <w:szCs w:val="22"/>
          <w:lang w:val="pt-PT" w:eastAsia="en-US"/>
        </w:rPr>
        <w:t>6.4.4 A Administração Pública poderá, motivadamente, adotar providências acauteladoras, inclusive retendo o pagamento, em caso de risco iminente, como forma de prevenir a ocorrência de dano de difícil ou impossível reparação.</w:t>
      </w:r>
    </w:p>
    <w:p w14:paraId="3281D27E" w14:textId="7D6CC898" w:rsidR="000608E3" w:rsidRPr="000608E3" w:rsidRDefault="000608E3" w:rsidP="000608E3">
      <w:pPr>
        <w:spacing w:line="360" w:lineRule="auto"/>
        <w:jc w:val="both"/>
        <w:rPr>
          <w:rFonts w:ascii="Arial" w:hAnsi="Arial" w:cs="Arial"/>
          <w:bCs/>
          <w:iCs/>
        </w:rPr>
      </w:pPr>
      <w:r w:rsidRPr="000608E3">
        <w:rPr>
          <w:rFonts w:ascii="Arial" w:hAnsi="Arial" w:cs="Arial"/>
          <w:bCs/>
          <w:iCs/>
        </w:rPr>
        <w:t xml:space="preserve">6.4.5 O pagamento será efetuado pelo Município de Nova Friburgo mediante crédito em conta-corrente da contratada, até o 30º (trigésimo) dia corrido, a contar da atestação da Nota Fiscal </w:t>
      </w:r>
      <w:r w:rsidRPr="000608E3">
        <w:rPr>
          <w:rFonts w:ascii="Arial" w:hAnsi="Arial" w:cs="Arial"/>
          <w:bCs/>
          <w:iCs/>
        </w:rPr>
        <w:lastRenderedPageBreak/>
        <w:t>apresentada pela contratada, desde que cumpridas as formalidades legais e contratuais previstas, e de acordo com o Decreto Municipal nº 2493, de 07 de novembro de 2023.</w:t>
      </w:r>
    </w:p>
    <w:p w14:paraId="3597BA5A" w14:textId="77777777" w:rsidR="0097688D" w:rsidRPr="000608E3"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0608E3">
        <w:rPr>
          <w:rFonts w:ascii="Arial" w:eastAsiaTheme="majorEastAsia" w:hAnsi="Arial" w:cs="Arial"/>
          <w:b/>
          <w:bCs/>
          <w:lang w:val="pt-BR" w:eastAsia="pt-BR"/>
        </w:rPr>
        <w:t>CLÁUSULA SÉTIMA - REAJUSTE (art. 92, V)</w:t>
      </w:r>
    </w:p>
    <w:p w14:paraId="6348F2F6" w14:textId="77777777" w:rsidR="0097688D" w:rsidRPr="000608E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608E3">
        <w:rPr>
          <w:rFonts w:ascii="Arial" w:hAnsi="Arial" w:cs="Arial"/>
          <w:bCs/>
          <w:iCs/>
        </w:rPr>
        <w:t>Os preços inicialmente contratados são fixos e irreajustáveis no prazo de um ano contado da data do orçamento estimado, em __/__/__ (DD/MM/AAAA).</w:t>
      </w:r>
    </w:p>
    <w:p w14:paraId="70569D4F" w14:textId="46033915" w:rsidR="0097688D" w:rsidRPr="000608E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608E3">
        <w:rPr>
          <w:rFonts w:ascii="Arial" w:hAnsi="Arial" w:cs="Arial"/>
          <w:bCs/>
          <w:iCs/>
        </w:rPr>
        <w:t xml:space="preserve">Após o interregno de um ano, e independentemente de pedido do contratado, os preços iniciais serão reajustados, mediante a aplicação, pelo contratante, </w:t>
      </w:r>
      <w:r w:rsidRPr="000608E3">
        <w:rPr>
          <w:rFonts w:ascii="Arial" w:hAnsi="Arial" w:cs="Arial"/>
          <w:bCs/>
          <w:iCs/>
          <w:lang w:val="pt-BR"/>
        </w:rPr>
        <w:t>do Índice Nacional de Preços ao Consumidor Amplo (IPCA), instituído pelo Instituto Brasileiro de Geografia e Estatística (IBGE)</w:t>
      </w:r>
      <w:r w:rsidRPr="000608E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0608E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execução do presente Contrato, ressalvados os requerimentos manifestamente impertinentes, meramente protelatórios ou de nenhum interesse para a boa </w:t>
      </w:r>
      <w:r w:rsidRPr="000608E3">
        <w:rPr>
          <w:rFonts w:ascii="Arial" w:hAnsi="Arial" w:cs="Arial"/>
          <w:bCs/>
          <w:iCs/>
          <w:lang w:val="pt-BR"/>
        </w:rPr>
        <w:t>execução do ajuste.</w:t>
      </w:r>
    </w:p>
    <w:p w14:paraId="7BEA1B30" w14:textId="53419478" w:rsidR="00A27B94" w:rsidRPr="000608E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0608E3">
        <w:rPr>
          <w:rFonts w:ascii="Arial" w:hAnsi="Arial" w:cs="Arial"/>
          <w:bCs/>
          <w:iCs/>
          <w:lang w:val="pt-BR"/>
        </w:rPr>
        <w:t xml:space="preserve"> A Administração terá o prazo de </w:t>
      </w:r>
      <w:r w:rsidRPr="000608E3">
        <w:rPr>
          <w:rFonts w:ascii="Arial" w:hAnsi="Arial" w:cs="Arial"/>
          <w:bCs/>
          <w:iCs/>
        </w:rPr>
        <w:t>1 (um) mês</w:t>
      </w:r>
      <w:r w:rsidRPr="000608E3">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0608E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0608E3">
        <w:rPr>
          <w:rFonts w:ascii="Arial" w:hAnsi="Arial" w:cs="Arial"/>
          <w:bCs/>
          <w:iCs/>
          <w:lang w:val="pt-BR"/>
        </w:rPr>
        <w:t xml:space="preserve">Responder eventuais pedidos de reestabelecimento do equilíbrio econômico-financeiro feitos pelo contratado no prazo máximo de </w:t>
      </w:r>
      <w:r w:rsidRPr="000608E3">
        <w:rPr>
          <w:rFonts w:ascii="Arial" w:hAnsi="Arial" w:cs="Arial"/>
          <w:bCs/>
          <w:iCs/>
        </w:rPr>
        <w:t>1 (um) mês</w:t>
      </w:r>
      <w:r w:rsidRPr="000608E3">
        <w:rPr>
          <w:rFonts w:ascii="Arial" w:hAnsi="Arial" w:cs="Arial"/>
          <w:bCs/>
          <w:iCs/>
          <w:lang w:val="pt-BR"/>
        </w:rPr>
        <w:t>.</w:t>
      </w:r>
    </w:p>
    <w:p w14:paraId="5080FE7D" w14:textId="0B12C5C7"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0608E3">
        <w:rPr>
          <w:rFonts w:ascii="Arial" w:hAnsi="Arial" w:cs="Arial"/>
          <w:bCs/>
          <w:iCs/>
          <w:lang w:val="pt-BR"/>
        </w:rPr>
        <w:t>A Administração não responderá por quaisquer compromissos assumidos pelo Contratado com terceiros, ainda que vinculados à execução do contrato</w:t>
      </w:r>
      <w:r w:rsidRPr="008C13A3">
        <w:rPr>
          <w:rFonts w:ascii="Arial" w:hAnsi="Arial" w:cs="Arial"/>
          <w:bCs/>
          <w:iCs/>
          <w:lang w:val="pt-BR"/>
        </w:rPr>
        <w:t>, bem como por qualquer dano causado a terceiros em decorrência de ato do Contratado, de seus empregados, prepostos ou subordinados.</w:t>
      </w:r>
    </w:p>
    <w:p w14:paraId="6A3A2CCC" w14:textId="77777777" w:rsidR="000608E3" w:rsidRPr="008C13A3" w:rsidRDefault="000608E3" w:rsidP="000608E3">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lastRenderedPageBreak/>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3" w:name="_Hlk114504069"/>
        <w:r w:rsidRPr="008C13A3">
          <w:rPr>
            <w:rStyle w:val="Hyperlink"/>
            <w:rFonts w:ascii="Arial" w:eastAsia="Arial" w:hAnsi="Arial" w:cs="Arial"/>
          </w:rPr>
          <w:t>Lei nº 14.133, de 2021</w:t>
        </w:r>
        <w:bookmarkEnd w:id="3"/>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lastRenderedPageBreak/>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lastRenderedPageBreak/>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lastRenderedPageBreak/>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3831141"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0205F686" w14:textId="43CA1C82" w:rsidR="000608E3" w:rsidRPr="000608E3" w:rsidRDefault="000608E3" w:rsidP="000608E3">
      <w:pPr>
        <w:pStyle w:val="PargrafodaLista"/>
        <w:numPr>
          <w:ilvl w:val="1"/>
          <w:numId w:val="2"/>
        </w:numPr>
        <w:spacing w:line="360" w:lineRule="auto"/>
        <w:ind w:left="0" w:firstLine="0"/>
        <w:jc w:val="both"/>
        <w:rPr>
          <w:rFonts w:ascii="Arial" w:hAnsi="Arial" w:cs="Arial"/>
        </w:rPr>
      </w:pPr>
      <w:r w:rsidRPr="000608E3">
        <w:rPr>
          <w:rFonts w:ascii="Arial" w:hAnsi="Arial" w:cs="Arial"/>
        </w:rPr>
        <w:t>As despesas decorrentes da presente contratação correrão à conta de recursos específicos consignados no Orçamento do Município, na forma abaixo:</w:t>
      </w:r>
    </w:p>
    <w:tbl>
      <w:tblPr>
        <w:tblW w:w="9575" w:type="dxa"/>
        <w:tblInd w:w="-238" w:type="dxa"/>
        <w:tblLook w:val="04A0" w:firstRow="1" w:lastRow="0" w:firstColumn="1" w:lastColumn="0" w:noHBand="0" w:noVBand="1"/>
      </w:tblPr>
      <w:tblGrid>
        <w:gridCol w:w="2837"/>
        <w:gridCol w:w="2541"/>
        <w:gridCol w:w="1760"/>
        <w:gridCol w:w="2437"/>
      </w:tblGrid>
      <w:tr w:rsidR="000608E3" w:rsidRPr="000608E3" w14:paraId="4F96285D" w14:textId="77777777" w:rsidTr="000608E3">
        <w:trPr>
          <w:trHeight w:val="964"/>
        </w:trPr>
        <w:tc>
          <w:tcPr>
            <w:tcW w:w="2937" w:type="dxa"/>
            <w:shd w:val="clear" w:color="auto" w:fill="auto"/>
            <w:vAlign w:val="center"/>
          </w:tcPr>
          <w:p w14:paraId="39CF1479" w14:textId="77777777" w:rsidR="000608E3" w:rsidRPr="000608E3" w:rsidRDefault="000608E3" w:rsidP="000608E3">
            <w:pPr>
              <w:pStyle w:val="PargrafodaLista"/>
              <w:spacing w:line="360" w:lineRule="auto"/>
              <w:ind w:left="0"/>
              <w:jc w:val="center"/>
              <w:rPr>
                <w:rFonts w:ascii="Arial" w:hAnsi="Arial" w:cs="Arial"/>
                <w:b/>
                <w:bCs/>
              </w:rPr>
            </w:pPr>
          </w:p>
          <w:p w14:paraId="58513CBA" w14:textId="77777777" w:rsidR="000608E3" w:rsidRPr="000608E3" w:rsidRDefault="000608E3" w:rsidP="000608E3">
            <w:pPr>
              <w:pStyle w:val="PargrafodaLista"/>
              <w:spacing w:line="360" w:lineRule="auto"/>
              <w:ind w:left="0"/>
              <w:jc w:val="center"/>
              <w:rPr>
                <w:rFonts w:ascii="Arial" w:hAnsi="Arial" w:cs="Arial"/>
                <w:b/>
                <w:bCs/>
              </w:rPr>
            </w:pPr>
            <w:r w:rsidRPr="000608E3">
              <w:rPr>
                <w:rFonts w:ascii="Arial" w:hAnsi="Arial" w:cs="Arial"/>
                <w:b/>
                <w:bCs/>
              </w:rPr>
              <w:t>Órgão/Unidade Orçamentária</w:t>
            </w:r>
          </w:p>
        </w:tc>
        <w:tc>
          <w:tcPr>
            <w:tcW w:w="2275" w:type="dxa"/>
            <w:shd w:val="clear" w:color="auto" w:fill="auto"/>
            <w:vAlign w:val="center"/>
          </w:tcPr>
          <w:p w14:paraId="3F938316" w14:textId="77777777" w:rsidR="000608E3" w:rsidRPr="000608E3" w:rsidRDefault="000608E3" w:rsidP="000608E3">
            <w:pPr>
              <w:pStyle w:val="PargrafodaLista"/>
              <w:spacing w:line="360" w:lineRule="auto"/>
              <w:ind w:left="0"/>
              <w:jc w:val="center"/>
              <w:rPr>
                <w:rFonts w:ascii="Arial" w:hAnsi="Arial" w:cs="Arial"/>
                <w:b/>
                <w:bCs/>
              </w:rPr>
            </w:pPr>
            <w:r w:rsidRPr="000608E3">
              <w:rPr>
                <w:rFonts w:ascii="Arial" w:hAnsi="Arial" w:cs="Arial"/>
                <w:b/>
                <w:bCs/>
              </w:rPr>
              <w:t>Programa de Trabalho</w:t>
            </w:r>
          </w:p>
        </w:tc>
        <w:tc>
          <w:tcPr>
            <w:tcW w:w="1812" w:type="dxa"/>
            <w:shd w:val="clear" w:color="auto" w:fill="auto"/>
            <w:vAlign w:val="center"/>
          </w:tcPr>
          <w:p w14:paraId="1918C2D4" w14:textId="77777777" w:rsidR="000608E3" w:rsidRPr="000608E3" w:rsidRDefault="000608E3" w:rsidP="000608E3">
            <w:pPr>
              <w:pStyle w:val="PargrafodaLista"/>
              <w:spacing w:line="360" w:lineRule="auto"/>
              <w:ind w:left="0"/>
              <w:jc w:val="center"/>
              <w:rPr>
                <w:rFonts w:ascii="Arial" w:hAnsi="Arial" w:cs="Arial"/>
                <w:b/>
                <w:bCs/>
              </w:rPr>
            </w:pPr>
            <w:r w:rsidRPr="000608E3">
              <w:rPr>
                <w:rFonts w:ascii="Arial" w:hAnsi="Arial" w:cs="Arial"/>
                <w:b/>
                <w:bCs/>
              </w:rPr>
              <w:t>Fonte de Recursos</w:t>
            </w:r>
          </w:p>
        </w:tc>
        <w:tc>
          <w:tcPr>
            <w:tcW w:w="2550" w:type="dxa"/>
            <w:shd w:val="clear" w:color="auto" w:fill="auto"/>
            <w:vAlign w:val="center"/>
          </w:tcPr>
          <w:p w14:paraId="65F6FEB4" w14:textId="77777777" w:rsidR="000608E3" w:rsidRPr="000608E3" w:rsidRDefault="000608E3" w:rsidP="000608E3">
            <w:pPr>
              <w:pStyle w:val="PargrafodaLista"/>
              <w:spacing w:line="360" w:lineRule="auto"/>
              <w:ind w:left="0"/>
              <w:jc w:val="center"/>
              <w:rPr>
                <w:rFonts w:ascii="Arial" w:hAnsi="Arial" w:cs="Arial"/>
                <w:b/>
                <w:bCs/>
              </w:rPr>
            </w:pPr>
            <w:r w:rsidRPr="000608E3">
              <w:rPr>
                <w:rFonts w:ascii="Arial" w:hAnsi="Arial" w:cs="Arial"/>
                <w:b/>
                <w:bCs/>
              </w:rPr>
              <w:t>Natureza da Despesa</w:t>
            </w:r>
          </w:p>
        </w:tc>
      </w:tr>
      <w:tr w:rsidR="000608E3" w:rsidRPr="000608E3" w14:paraId="39F1B3DC" w14:textId="77777777" w:rsidTr="00430900">
        <w:tc>
          <w:tcPr>
            <w:tcW w:w="2937" w:type="dxa"/>
            <w:shd w:val="clear" w:color="auto" w:fill="auto"/>
            <w:vAlign w:val="center"/>
          </w:tcPr>
          <w:p w14:paraId="4E9763FB" w14:textId="77777777" w:rsidR="000608E3" w:rsidRPr="000608E3" w:rsidRDefault="000608E3" w:rsidP="000608E3">
            <w:pPr>
              <w:pStyle w:val="PargrafodaLista"/>
              <w:spacing w:line="360" w:lineRule="auto"/>
              <w:ind w:left="0"/>
              <w:jc w:val="center"/>
              <w:rPr>
                <w:rFonts w:ascii="Arial" w:hAnsi="Arial" w:cs="Arial"/>
              </w:rPr>
            </w:pPr>
            <w:r w:rsidRPr="000608E3">
              <w:rPr>
                <w:rFonts w:ascii="Arial" w:hAnsi="Arial" w:cs="Arial"/>
              </w:rPr>
              <w:t>Gestão das Ações em Saúde do Hospital Municipal Raul Sertã</w:t>
            </w:r>
          </w:p>
          <w:p w14:paraId="20E3791D" w14:textId="77777777" w:rsidR="000608E3" w:rsidRPr="000608E3" w:rsidRDefault="000608E3" w:rsidP="000608E3">
            <w:pPr>
              <w:pStyle w:val="PargrafodaLista"/>
              <w:spacing w:line="360" w:lineRule="auto"/>
              <w:ind w:left="0"/>
              <w:jc w:val="center"/>
              <w:rPr>
                <w:rFonts w:ascii="Arial" w:hAnsi="Arial" w:cs="Arial"/>
              </w:rPr>
            </w:pPr>
          </w:p>
          <w:p w14:paraId="51AA1AB6" w14:textId="77777777" w:rsidR="000608E3" w:rsidRPr="000608E3" w:rsidRDefault="000608E3" w:rsidP="000608E3">
            <w:pPr>
              <w:pStyle w:val="PargrafodaLista"/>
              <w:spacing w:line="360" w:lineRule="auto"/>
              <w:ind w:left="0"/>
              <w:jc w:val="center"/>
              <w:rPr>
                <w:rFonts w:ascii="Arial" w:hAnsi="Arial" w:cs="Arial"/>
              </w:rPr>
            </w:pPr>
            <w:r w:rsidRPr="000608E3">
              <w:rPr>
                <w:rFonts w:ascii="Arial" w:hAnsi="Arial" w:cs="Arial"/>
              </w:rPr>
              <w:lastRenderedPageBreak/>
              <w:t>Gestão das Ações em Saúde do Hospital Maternidade</w:t>
            </w:r>
          </w:p>
        </w:tc>
        <w:tc>
          <w:tcPr>
            <w:tcW w:w="2275" w:type="dxa"/>
            <w:shd w:val="clear" w:color="auto" w:fill="auto"/>
            <w:vAlign w:val="center"/>
          </w:tcPr>
          <w:p w14:paraId="05CF9568" w14:textId="77777777" w:rsidR="000608E3" w:rsidRPr="000608E3" w:rsidRDefault="000608E3" w:rsidP="000608E3">
            <w:pPr>
              <w:pStyle w:val="PargrafodaLista"/>
              <w:spacing w:line="360" w:lineRule="auto"/>
              <w:ind w:left="0"/>
              <w:rPr>
                <w:rFonts w:ascii="Arial" w:hAnsi="Arial" w:cs="Arial"/>
              </w:rPr>
            </w:pPr>
            <w:r w:rsidRPr="000608E3">
              <w:rPr>
                <w:rFonts w:ascii="Arial" w:hAnsi="Arial" w:cs="Arial"/>
              </w:rPr>
              <w:lastRenderedPageBreak/>
              <w:t>30001.1030200852.202</w:t>
            </w:r>
          </w:p>
          <w:p w14:paraId="07A36FBB" w14:textId="77777777" w:rsidR="000608E3" w:rsidRPr="000608E3" w:rsidRDefault="000608E3" w:rsidP="000608E3">
            <w:pPr>
              <w:pStyle w:val="PargrafodaLista"/>
              <w:spacing w:line="360" w:lineRule="auto"/>
              <w:ind w:left="0"/>
              <w:rPr>
                <w:rFonts w:ascii="Arial" w:hAnsi="Arial" w:cs="Arial"/>
              </w:rPr>
            </w:pPr>
          </w:p>
          <w:p w14:paraId="24020E36" w14:textId="77777777" w:rsidR="000608E3" w:rsidRPr="000608E3" w:rsidRDefault="000608E3" w:rsidP="000608E3">
            <w:pPr>
              <w:pStyle w:val="PargrafodaLista"/>
              <w:spacing w:line="360" w:lineRule="auto"/>
              <w:ind w:left="0"/>
              <w:jc w:val="center"/>
              <w:rPr>
                <w:rFonts w:ascii="Arial" w:hAnsi="Arial" w:cs="Arial"/>
              </w:rPr>
            </w:pPr>
          </w:p>
          <w:p w14:paraId="7DE7E6B6" w14:textId="77777777" w:rsidR="000608E3" w:rsidRPr="000608E3" w:rsidRDefault="000608E3" w:rsidP="000608E3">
            <w:pPr>
              <w:pStyle w:val="PargrafodaLista"/>
              <w:spacing w:line="360" w:lineRule="auto"/>
              <w:ind w:left="0"/>
              <w:jc w:val="center"/>
              <w:rPr>
                <w:rFonts w:ascii="Arial" w:hAnsi="Arial" w:cs="Arial"/>
              </w:rPr>
            </w:pPr>
            <w:r w:rsidRPr="000608E3">
              <w:rPr>
                <w:rFonts w:ascii="Arial" w:hAnsi="Arial" w:cs="Arial"/>
              </w:rPr>
              <w:t>30001.1030200852.203</w:t>
            </w:r>
          </w:p>
        </w:tc>
        <w:tc>
          <w:tcPr>
            <w:tcW w:w="1812" w:type="dxa"/>
            <w:shd w:val="clear" w:color="auto" w:fill="auto"/>
            <w:vAlign w:val="center"/>
          </w:tcPr>
          <w:p w14:paraId="448ABDB1" w14:textId="77777777" w:rsidR="000608E3" w:rsidRPr="000608E3" w:rsidRDefault="000608E3" w:rsidP="000608E3">
            <w:pPr>
              <w:pStyle w:val="PargrafodaLista"/>
              <w:spacing w:line="360" w:lineRule="auto"/>
              <w:ind w:left="0"/>
              <w:jc w:val="center"/>
              <w:rPr>
                <w:rFonts w:ascii="Arial" w:hAnsi="Arial" w:cs="Arial"/>
              </w:rPr>
            </w:pPr>
          </w:p>
          <w:p w14:paraId="199C0698" w14:textId="77777777" w:rsidR="000608E3" w:rsidRPr="000608E3" w:rsidRDefault="000608E3" w:rsidP="000608E3">
            <w:pPr>
              <w:pStyle w:val="PargrafodaLista"/>
              <w:spacing w:line="360" w:lineRule="auto"/>
              <w:ind w:left="0"/>
              <w:jc w:val="center"/>
              <w:rPr>
                <w:rFonts w:ascii="Arial" w:hAnsi="Arial" w:cs="Arial"/>
              </w:rPr>
            </w:pPr>
            <w:r w:rsidRPr="000608E3">
              <w:rPr>
                <w:rFonts w:ascii="Arial" w:hAnsi="Arial" w:cs="Arial"/>
              </w:rPr>
              <w:t>1601</w:t>
            </w:r>
          </w:p>
          <w:p w14:paraId="11B5C026" w14:textId="77777777" w:rsidR="000608E3" w:rsidRPr="000608E3" w:rsidRDefault="000608E3" w:rsidP="000608E3">
            <w:pPr>
              <w:spacing w:line="360" w:lineRule="auto"/>
              <w:rPr>
                <w:rFonts w:ascii="Arial" w:hAnsi="Arial" w:cs="Arial"/>
              </w:rPr>
            </w:pPr>
          </w:p>
          <w:p w14:paraId="04993DDC" w14:textId="77777777" w:rsidR="000608E3" w:rsidRPr="000608E3" w:rsidRDefault="000608E3" w:rsidP="000608E3">
            <w:pPr>
              <w:pStyle w:val="PargrafodaLista"/>
              <w:spacing w:line="360" w:lineRule="auto"/>
              <w:ind w:left="0"/>
              <w:jc w:val="center"/>
              <w:rPr>
                <w:rFonts w:ascii="Arial" w:hAnsi="Arial" w:cs="Arial"/>
              </w:rPr>
            </w:pPr>
          </w:p>
          <w:p w14:paraId="05E6E26A" w14:textId="77777777" w:rsidR="000608E3" w:rsidRPr="000608E3" w:rsidRDefault="000608E3" w:rsidP="000608E3">
            <w:pPr>
              <w:pStyle w:val="PargrafodaLista"/>
              <w:spacing w:line="360" w:lineRule="auto"/>
              <w:ind w:left="0"/>
              <w:jc w:val="center"/>
              <w:rPr>
                <w:rFonts w:ascii="Arial" w:hAnsi="Arial" w:cs="Arial"/>
              </w:rPr>
            </w:pPr>
            <w:r w:rsidRPr="000608E3">
              <w:rPr>
                <w:rFonts w:ascii="Arial" w:hAnsi="Arial" w:cs="Arial"/>
              </w:rPr>
              <w:lastRenderedPageBreak/>
              <w:t>1601</w:t>
            </w:r>
          </w:p>
          <w:p w14:paraId="0588A68C" w14:textId="77777777" w:rsidR="000608E3" w:rsidRPr="000608E3" w:rsidRDefault="000608E3" w:rsidP="000608E3">
            <w:pPr>
              <w:pStyle w:val="PargrafodaLista"/>
              <w:spacing w:line="360" w:lineRule="auto"/>
              <w:ind w:left="0"/>
              <w:jc w:val="center"/>
              <w:rPr>
                <w:rFonts w:ascii="Arial" w:hAnsi="Arial" w:cs="Arial"/>
              </w:rPr>
            </w:pPr>
          </w:p>
        </w:tc>
        <w:tc>
          <w:tcPr>
            <w:tcW w:w="2550" w:type="dxa"/>
            <w:shd w:val="clear" w:color="auto" w:fill="auto"/>
          </w:tcPr>
          <w:p w14:paraId="6669F883" w14:textId="77777777" w:rsidR="000608E3" w:rsidRPr="000608E3" w:rsidRDefault="000608E3" w:rsidP="000608E3">
            <w:pPr>
              <w:pStyle w:val="PargrafodaLista"/>
              <w:spacing w:line="360" w:lineRule="auto"/>
              <w:ind w:left="0"/>
              <w:jc w:val="center"/>
              <w:rPr>
                <w:rFonts w:ascii="Arial" w:hAnsi="Arial" w:cs="Arial"/>
              </w:rPr>
            </w:pPr>
          </w:p>
          <w:p w14:paraId="0A6FA783" w14:textId="77777777" w:rsidR="000608E3" w:rsidRPr="000608E3" w:rsidRDefault="000608E3" w:rsidP="000608E3">
            <w:pPr>
              <w:pStyle w:val="PargrafodaLista"/>
              <w:spacing w:line="360" w:lineRule="auto"/>
              <w:ind w:left="0"/>
              <w:jc w:val="center"/>
              <w:rPr>
                <w:rFonts w:ascii="Arial" w:hAnsi="Arial" w:cs="Arial"/>
              </w:rPr>
            </w:pPr>
          </w:p>
          <w:p w14:paraId="787A11F8" w14:textId="77777777" w:rsidR="000608E3" w:rsidRPr="000608E3" w:rsidRDefault="000608E3" w:rsidP="000608E3">
            <w:pPr>
              <w:pStyle w:val="PargrafodaLista"/>
              <w:spacing w:line="360" w:lineRule="auto"/>
              <w:ind w:left="0"/>
              <w:rPr>
                <w:rFonts w:ascii="Arial" w:hAnsi="Arial" w:cs="Arial"/>
              </w:rPr>
            </w:pPr>
          </w:p>
          <w:p w14:paraId="7E105EEF" w14:textId="77777777" w:rsidR="000608E3" w:rsidRPr="000608E3" w:rsidRDefault="000608E3" w:rsidP="000608E3">
            <w:pPr>
              <w:pStyle w:val="PargrafodaLista"/>
              <w:spacing w:line="360" w:lineRule="auto"/>
              <w:ind w:left="0"/>
              <w:rPr>
                <w:rFonts w:ascii="Arial" w:hAnsi="Arial" w:cs="Arial"/>
              </w:rPr>
            </w:pPr>
            <w:r w:rsidRPr="000608E3">
              <w:rPr>
                <w:rFonts w:ascii="Arial" w:hAnsi="Arial" w:cs="Arial"/>
              </w:rPr>
              <w:t xml:space="preserve">             449052.14</w:t>
            </w:r>
          </w:p>
          <w:p w14:paraId="5517032A" w14:textId="77777777" w:rsidR="000608E3" w:rsidRPr="000608E3" w:rsidRDefault="000608E3" w:rsidP="000608E3">
            <w:pPr>
              <w:spacing w:line="360" w:lineRule="auto"/>
              <w:rPr>
                <w:rFonts w:ascii="Arial" w:hAnsi="Arial" w:cs="Arial"/>
              </w:rPr>
            </w:pPr>
          </w:p>
          <w:p w14:paraId="6EE14456" w14:textId="77777777" w:rsidR="000608E3" w:rsidRPr="000608E3" w:rsidRDefault="000608E3" w:rsidP="000608E3">
            <w:pPr>
              <w:pStyle w:val="PargrafodaLista"/>
              <w:spacing w:line="360" w:lineRule="auto"/>
              <w:ind w:left="0"/>
              <w:jc w:val="center"/>
              <w:rPr>
                <w:rFonts w:ascii="Arial" w:hAnsi="Arial" w:cs="Arial"/>
              </w:rPr>
            </w:pPr>
          </w:p>
          <w:p w14:paraId="53078E87" w14:textId="77777777" w:rsidR="000608E3" w:rsidRPr="000608E3" w:rsidRDefault="000608E3" w:rsidP="000608E3">
            <w:pPr>
              <w:pStyle w:val="PargrafodaLista"/>
              <w:spacing w:line="360" w:lineRule="auto"/>
              <w:ind w:left="0"/>
              <w:jc w:val="center"/>
              <w:rPr>
                <w:rFonts w:ascii="Arial" w:hAnsi="Arial" w:cs="Arial"/>
              </w:rPr>
            </w:pPr>
            <w:r w:rsidRPr="000608E3">
              <w:rPr>
                <w:rFonts w:ascii="Arial" w:hAnsi="Arial" w:cs="Arial"/>
              </w:rPr>
              <w:t>449052.14</w:t>
            </w:r>
          </w:p>
          <w:p w14:paraId="63F3B179" w14:textId="77777777" w:rsidR="000608E3" w:rsidRPr="000608E3" w:rsidRDefault="000608E3" w:rsidP="000608E3">
            <w:pPr>
              <w:pStyle w:val="PargrafodaLista"/>
              <w:spacing w:line="360" w:lineRule="auto"/>
              <w:ind w:left="0"/>
              <w:jc w:val="center"/>
              <w:rPr>
                <w:rFonts w:ascii="Arial" w:hAnsi="Arial" w:cs="Arial"/>
              </w:rPr>
            </w:pPr>
          </w:p>
          <w:p w14:paraId="16EC6665" w14:textId="77777777" w:rsidR="000608E3" w:rsidRPr="000608E3" w:rsidRDefault="000608E3" w:rsidP="000608E3">
            <w:pPr>
              <w:spacing w:line="360" w:lineRule="auto"/>
              <w:rPr>
                <w:rFonts w:ascii="Arial" w:hAnsi="Arial" w:cs="Arial"/>
              </w:rPr>
            </w:pPr>
            <w:r w:rsidRPr="000608E3">
              <w:rPr>
                <w:rFonts w:ascii="Arial" w:hAnsi="Arial" w:cs="Arial"/>
              </w:rPr>
              <w:t xml:space="preserve"> </w:t>
            </w:r>
          </w:p>
          <w:p w14:paraId="0620F8B4" w14:textId="77777777" w:rsidR="000608E3" w:rsidRPr="000608E3" w:rsidRDefault="000608E3" w:rsidP="000608E3">
            <w:pPr>
              <w:pStyle w:val="PargrafodaLista"/>
              <w:spacing w:line="360" w:lineRule="auto"/>
              <w:ind w:left="0"/>
              <w:jc w:val="center"/>
              <w:rPr>
                <w:rFonts w:ascii="Arial" w:hAnsi="Arial" w:cs="Arial"/>
              </w:rPr>
            </w:pPr>
          </w:p>
        </w:tc>
      </w:tr>
    </w:tbl>
    <w:p w14:paraId="120C7BB4" w14:textId="378B65E1"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lastRenderedPageBreak/>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w:t>
      </w:r>
      <w:r w:rsidRPr="008C13A3">
        <w:rPr>
          <w:rFonts w:ascii="Arial" w:hAnsi="Arial" w:cs="Arial"/>
        </w:rPr>
        <w:lastRenderedPageBreak/>
        <w:t xml:space="preserve">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0"/>
      <w:footerReference w:type="default" r:id="rId51"/>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888AE" w14:textId="77777777" w:rsidR="00905F0F" w:rsidRDefault="00905F0F">
      <w:r>
        <w:separator/>
      </w:r>
    </w:p>
  </w:endnote>
  <w:endnote w:type="continuationSeparator" w:id="0">
    <w:p w14:paraId="02C76C69" w14:textId="77777777" w:rsidR="00905F0F" w:rsidRDefault="00905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A559B" w14:textId="77777777" w:rsidR="00905F0F" w:rsidRDefault="00905F0F">
      <w:r>
        <w:separator/>
      </w:r>
    </w:p>
  </w:footnote>
  <w:footnote w:type="continuationSeparator" w:id="0">
    <w:p w14:paraId="38C1DF94" w14:textId="77777777" w:rsidR="00905F0F" w:rsidRDefault="00905F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8"/>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08E3"/>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CF2"/>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A0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7741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57270"/>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5F0F"/>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B031E"/>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424"/>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0A48"/>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0CEE"/>
    <w:rsid w:val="00DB1B33"/>
    <w:rsid w:val="00DB4906"/>
    <w:rsid w:val="00DB6EA1"/>
    <w:rsid w:val="00DC58C6"/>
    <w:rsid w:val="00DC6CC7"/>
    <w:rsid w:val="00DC6FCA"/>
    <w:rsid w:val="00DD641A"/>
    <w:rsid w:val="00DE14C5"/>
    <w:rsid w:val="00E12775"/>
    <w:rsid w:val="00E151D6"/>
    <w:rsid w:val="00E26E61"/>
    <w:rsid w:val="00E27B1B"/>
    <w:rsid w:val="00E30BFB"/>
    <w:rsid w:val="00E3636F"/>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Pages>
  <Words>5340</Words>
  <Characters>28842</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49</cp:revision>
  <cp:lastPrinted>2025-10-06T15:50:00Z</cp:lastPrinted>
  <dcterms:created xsi:type="dcterms:W3CDTF">2023-08-18T18:10:00Z</dcterms:created>
  <dcterms:modified xsi:type="dcterms:W3CDTF">2025-10-06T15:50:00Z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